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ЗОЖ и гигиена</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ЗОЖ и гигиена»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«Основы ЗОЖ и гигиена».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ЗОЖ и гигиена»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483.62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личностного саморазвития</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7.1 знать основы здорового образа жизни и здоровьесберегающие технологии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7.3 владеть способами поддержания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r>
      <w:tr>
        <w:trPr>
          <w:trHeight w:hRule="exact" w:val="277.8299"/>
        </w:trPr>
        <w:tc>
          <w:tcPr>
            <w:tcW w:w="3970" w:type="dxa"/>
          </w:tcPr>
          <w:p/>
        </w:tc>
        <w:tc>
          <w:tcPr>
            <w:tcW w:w="4679" w:type="dxa"/>
          </w:tcPr>
          <w:p/>
        </w:tc>
        <w:tc>
          <w:tcPr>
            <w:tcW w:w="993" w:type="dxa"/>
          </w:tcP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 знать основы безопасности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8.17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8.25 владеть навыками оказания первой помощи при проведении спасательных и аварийно-восстановительных мероприятий  в чрезвычайных ситуациях и военных конфликтах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8.26 владеть безопасными и/или комфортными условиями труда на рабочем месте</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«Основы ЗОЖ и гигиена»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ОПК-8, УК-7, УК-8</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как состояние и свойство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как состояние и свойство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Наследственность как фактор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Здоровый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и его компоненты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здоровья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 по подготовке к зачёту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62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как состояние и свойство организма.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«здоровье». Здоровье индивидуальное и</w:t>
            </w:r>
          </w:p>
          <w:p>
            <w:pPr>
              <w:jc w:val="both"/>
              <w:spacing w:after="0" w:line="240" w:lineRule="auto"/>
              <w:rPr>
                <w:sz w:val="24"/>
                <w:szCs w:val="24"/>
              </w:rPr>
            </w:pPr>
            <w:r>
              <w:rPr>
                <w:rFonts w:ascii="Times New Roman" w:hAnsi="Times New Roman" w:cs="Times New Roman"/>
                <w:color w:val="#000000"/>
                <w:sz w:val="24"/>
                <w:szCs w:val="24"/>
              </w:rPr>
              <w:t> общественное, их характеристики. Физический, социальный и</w:t>
            </w:r>
          </w:p>
          <w:p>
            <w:pPr>
              <w:jc w:val="both"/>
              <w:spacing w:after="0" w:line="240" w:lineRule="auto"/>
              <w:rPr>
                <w:sz w:val="24"/>
                <w:szCs w:val="24"/>
              </w:rPr>
            </w:pPr>
            <w:r>
              <w:rPr>
                <w:rFonts w:ascii="Times New Roman" w:hAnsi="Times New Roman" w:cs="Times New Roman"/>
                <w:color w:val="#000000"/>
                <w:sz w:val="24"/>
                <w:szCs w:val="24"/>
              </w:rPr>
              <w:t> психологические аспекты здоровья. Понятия «норма», «гомеостаз»,</w:t>
            </w:r>
          </w:p>
          <w:p>
            <w:pPr>
              <w:jc w:val="both"/>
              <w:spacing w:after="0" w:line="240" w:lineRule="auto"/>
              <w:rPr>
                <w:sz w:val="24"/>
                <w:szCs w:val="24"/>
              </w:rPr>
            </w:pPr>
            <w:r>
              <w:rPr>
                <w:rFonts w:ascii="Times New Roman" w:hAnsi="Times New Roman" w:cs="Times New Roman"/>
                <w:color w:val="#000000"/>
                <w:sz w:val="24"/>
                <w:szCs w:val="24"/>
              </w:rPr>
              <w:t> «адаптация». Границы применения понятий «здоровье» и «болезнь».</w:t>
            </w:r>
          </w:p>
          <w:p>
            <w:pPr>
              <w:jc w:val="both"/>
              <w:spacing w:after="0" w:line="240" w:lineRule="auto"/>
              <w:rPr>
                <w:sz w:val="24"/>
                <w:szCs w:val="24"/>
              </w:rPr>
            </w:pPr>
            <w:r>
              <w:rPr>
                <w:rFonts w:ascii="Times New Roman" w:hAnsi="Times New Roman" w:cs="Times New Roman"/>
                <w:color w:val="#000000"/>
                <w:sz w:val="24"/>
                <w:szCs w:val="24"/>
              </w:rPr>
              <w:t> Оценка здоровья, ее методы.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Окружающая среда и здоровье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окружающей среды и характер их воздействия на человека.</w:t>
            </w:r>
          </w:p>
          <w:p>
            <w:pPr>
              <w:jc w:val="both"/>
              <w:spacing w:after="0" w:line="240" w:lineRule="auto"/>
              <w:rPr>
                <w:sz w:val="24"/>
                <w:szCs w:val="24"/>
              </w:rPr>
            </w:pPr>
            <w:r>
              <w:rPr>
                <w:rFonts w:ascii="Times New Roman" w:hAnsi="Times New Roman" w:cs="Times New Roman"/>
                <w:color w:val="#000000"/>
                <w:sz w:val="24"/>
                <w:szCs w:val="24"/>
              </w:rPr>
              <w:t> Особенности природно-очаговых и эндемических заболеваний.</w:t>
            </w:r>
          </w:p>
          <w:p>
            <w:pPr>
              <w:jc w:val="both"/>
              <w:spacing w:after="0" w:line="240" w:lineRule="auto"/>
              <w:rPr>
                <w:sz w:val="24"/>
                <w:szCs w:val="24"/>
              </w:rPr>
            </w:pPr>
            <w:r>
              <w:rPr>
                <w:rFonts w:ascii="Times New Roman" w:hAnsi="Times New Roman" w:cs="Times New Roman"/>
                <w:color w:val="#000000"/>
                <w:sz w:val="24"/>
                <w:szCs w:val="24"/>
              </w:rPr>
              <w:t> Биологические ритмы и здоровье. Десинхронозы и метеопатии и пути их</w:t>
            </w:r>
          </w:p>
          <w:p>
            <w:pPr>
              <w:jc w:val="both"/>
              <w:spacing w:after="0" w:line="240" w:lineRule="auto"/>
              <w:rPr>
                <w:sz w:val="24"/>
                <w:szCs w:val="24"/>
              </w:rPr>
            </w:pPr>
            <w:r>
              <w:rPr>
                <w:rFonts w:ascii="Times New Roman" w:hAnsi="Times New Roman" w:cs="Times New Roman"/>
                <w:color w:val="#000000"/>
                <w:sz w:val="24"/>
                <w:szCs w:val="24"/>
              </w:rPr>
              <w:t> ограничения. Взаимосвязь экологии и медицины в изучении и укреплении</w:t>
            </w:r>
          </w:p>
          <w:p>
            <w:pPr>
              <w:jc w:val="both"/>
              <w:spacing w:after="0" w:line="240" w:lineRule="auto"/>
              <w:rPr>
                <w:sz w:val="24"/>
                <w:szCs w:val="24"/>
              </w:rPr>
            </w:pPr>
            <w:r>
              <w:rPr>
                <w:rFonts w:ascii="Times New Roman" w:hAnsi="Times New Roman" w:cs="Times New Roman"/>
                <w:color w:val="#000000"/>
                <w:sz w:val="24"/>
                <w:szCs w:val="24"/>
              </w:rPr>
              <w:t> здоровья человека. Особенности жизни в антропогенных и техногенных</w:t>
            </w:r>
          </w:p>
          <w:p>
            <w:pPr>
              <w:jc w:val="both"/>
              <w:spacing w:after="0" w:line="240" w:lineRule="auto"/>
              <w:rPr>
                <w:sz w:val="24"/>
                <w:szCs w:val="24"/>
              </w:rPr>
            </w:pPr>
            <w:r>
              <w:rPr>
                <w:rFonts w:ascii="Times New Roman" w:hAnsi="Times New Roman" w:cs="Times New Roman"/>
                <w:color w:val="#000000"/>
                <w:sz w:val="24"/>
                <w:szCs w:val="24"/>
              </w:rPr>
              <w:t> системах. Влияние антропогенных факторов на здоровье человека.</w:t>
            </w:r>
          </w:p>
          <w:p>
            <w:pPr>
              <w:jc w:val="both"/>
              <w:spacing w:after="0" w:line="240" w:lineRule="auto"/>
              <w:rPr>
                <w:sz w:val="24"/>
                <w:szCs w:val="24"/>
              </w:rPr>
            </w:pPr>
            <w:r>
              <w:rPr>
                <w:rFonts w:ascii="Times New Roman" w:hAnsi="Times New Roman" w:cs="Times New Roman"/>
                <w:color w:val="#000000"/>
                <w:sz w:val="24"/>
                <w:szCs w:val="24"/>
              </w:rPr>
              <w:t> Загрязняющие вещества и принципы их нормирования. Производственная</w:t>
            </w:r>
          </w:p>
          <w:p>
            <w:pPr>
              <w:jc w:val="both"/>
              <w:spacing w:after="0" w:line="240" w:lineRule="auto"/>
              <w:rPr>
                <w:sz w:val="24"/>
                <w:szCs w:val="24"/>
              </w:rPr>
            </w:pPr>
            <w:r>
              <w:rPr>
                <w:rFonts w:ascii="Times New Roman" w:hAnsi="Times New Roman" w:cs="Times New Roman"/>
                <w:color w:val="#000000"/>
                <w:sz w:val="24"/>
                <w:szCs w:val="24"/>
              </w:rPr>
              <w:t> среда и среда жилого помещения. Экология жилища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и его компоненты</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«здоровый образ жизни». Компоненты здорового образа</w:t>
            </w:r>
          </w:p>
          <w:p>
            <w:pPr>
              <w:jc w:val="both"/>
              <w:spacing w:after="0" w:line="240" w:lineRule="auto"/>
              <w:rPr>
                <w:sz w:val="24"/>
                <w:szCs w:val="24"/>
              </w:rPr>
            </w:pPr>
            <w:r>
              <w:rPr>
                <w:rFonts w:ascii="Times New Roman" w:hAnsi="Times New Roman" w:cs="Times New Roman"/>
                <w:color w:val="#000000"/>
                <w:sz w:val="24"/>
                <w:szCs w:val="24"/>
              </w:rPr>
              <w:t> жизни. Оценка эффективности образа жизни. Рациональное питание, его</w:t>
            </w:r>
          </w:p>
          <w:p>
            <w:pPr>
              <w:jc w:val="both"/>
              <w:spacing w:after="0" w:line="240" w:lineRule="auto"/>
              <w:rPr>
                <w:sz w:val="24"/>
                <w:szCs w:val="24"/>
              </w:rPr>
            </w:pPr>
            <w:r>
              <w:rPr>
                <w:rFonts w:ascii="Times New Roman" w:hAnsi="Times New Roman" w:cs="Times New Roman"/>
                <w:color w:val="#000000"/>
                <w:sz w:val="24"/>
                <w:szCs w:val="24"/>
              </w:rPr>
              <w:t> принципы. Концепция сбалансированного питания. Идеальная и</w:t>
            </w:r>
          </w:p>
          <w:p>
            <w:pPr>
              <w:jc w:val="both"/>
              <w:spacing w:after="0" w:line="240" w:lineRule="auto"/>
              <w:rPr>
                <w:sz w:val="24"/>
                <w:szCs w:val="24"/>
              </w:rPr>
            </w:pPr>
            <w:r>
              <w:rPr>
                <w:rFonts w:ascii="Times New Roman" w:hAnsi="Times New Roman" w:cs="Times New Roman"/>
                <w:color w:val="#000000"/>
                <w:sz w:val="24"/>
                <w:szCs w:val="24"/>
              </w:rPr>
              <w:t> нормальная масса тела. Двигательная активность и нормы для разных</w:t>
            </w:r>
          </w:p>
          <w:p>
            <w:pPr>
              <w:jc w:val="both"/>
              <w:spacing w:after="0" w:line="240" w:lineRule="auto"/>
              <w:rPr>
                <w:sz w:val="24"/>
                <w:szCs w:val="24"/>
              </w:rPr>
            </w:pPr>
            <w:r>
              <w:rPr>
                <w:rFonts w:ascii="Times New Roman" w:hAnsi="Times New Roman" w:cs="Times New Roman"/>
                <w:color w:val="#000000"/>
                <w:sz w:val="24"/>
                <w:szCs w:val="24"/>
              </w:rPr>
              <w:t> возрастных категорий. Физиологические основы физической культуры</w:t>
            </w:r>
          </w:p>
          <w:p>
            <w:pPr>
              <w:jc w:val="both"/>
              <w:spacing w:after="0" w:line="240" w:lineRule="auto"/>
              <w:rPr>
                <w:sz w:val="24"/>
                <w:szCs w:val="24"/>
              </w:rPr>
            </w:pPr>
            <w:r>
              <w:rPr>
                <w:rFonts w:ascii="Times New Roman" w:hAnsi="Times New Roman" w:cs="Times New Roman"/>
                <w:color w:val="#000000"/>
                <w:sz w:val="24"/>
                <w:szCs w:val="24"/>
              </w:rPr>
              <w:t> человека. Гиподинамия.</w:t>
            </w:r>
          </w:p>
          <w:p>
            <w:pPr>
              <w:jc w:val="both"/>
              <w:spacing w:after="0" w:line="240" w:lineRule="auto"/>
              <w:rPr>
                <w:sz w:val="24"/>
                <w:szCs w:val="24"/>
              </w:rPr>
            </w:pPr>
            <w:r>
              <w:rPr>
                <w:rFonts w:ascii="Times New Roman" w:hAnsi="Times New Roman" w:cs="Times New Roman"/>
                <w:color w:val="#000000"/>
                <w:sz w:val="24"/>
                <w:szCs w:val="24"/>
              </w:rPr>
              <w:t> Иммунитет и здоровье. Классификация защитных механизмов.</w:t>
            </w:r>
          </w:p>
          <w:p>
            <w:pPr>
              <w:jc w:val="both"/>
              <w:spacing w:after="0" w:line="240" w:lineRule="auto"/>
              <w:rPr>
                <w:sz w:val="24"/>
                <w:szCs w:val="24"/>
              </w:rPr>
            </w:pPr>
            <w:r>
              <w:rPr>
                <w:rFonts w:ascii="Times New Roman" w:hAnsi="Times New Roman" w:cs="Times New Roman"/>
                <w:color w:val="#000000"/>
                <w:sz w:val="24"/>
                <w:szCs w:val="24"/>
              </w:rPr>
              <w:t> Физиология иммунитета. Факторы риска иммунитета.</w:t>
            </w:r>
          </w:p>
          <w:p>
            <w:pPr>
              <w:jc w:val="both"/>
              <w:spacing w:after="0" w:line="240" w:lineRule="auto"/>
              <w:rPr>
                <w:sz w:val="24"/>
                <w:szCs w:val="24"/>
              </w:rPr>
            </w:pPr>
            <w:r>
              <w:rPr>
                <w:rFonts w:ascii="Times New Roman" w:hAnsi="Times New Roman" w:cs="Times New Roman"/>
                <w:color w:val="#000000"/>
                <w:sz w:val="24"/>
                <w:szCs w:val="24"/>
              </w:rPr>
              <w:t> Общая характеристика стресса. Психические, поведенческие и</w:t>
            </w:r>
          </w:p>
          <w:p>
            <w:pPr>
              <w:jc w:val="both"/>
              <w:spacing w:after="0" w:line="240" w:lineRule="auto"/>
              <w:rPr>
                <w:sz w:val="24"/>
                <w:szCs w:val="24"/>
              </w:rPr>
            </w:pPr>
            <w:r>
              <w:rPr>
                <w:rFonts w:ascii="Times New Roman" w:hAnsi="Times New Roman" w:cs="Times New Roman"/>
                <w:color w:val="#000000"/>
                <w:sz w:val="24"/>
                <w:szCs w:val="24"/>
              </w:rPr>
              <w:t> висцеральные проявления стресса. Приемы поведенческой</w:t>
            </w:r>
          </w:p>
          <w:p>
            <w:pPr>
              <w:jc w:val="both"/>
              <w:spacing w:after="0" w:line="240" w:lineRule="auto"/>
              <w:rPr>
                <w:sz w:val="24"/>
                <w:szCs w:val="24"/>
              </w:rPr>
            </w:pPr>
            <w:r>
              <w:rPr>
                <w:rFonts w:ascii="Times New Roman" w:hAnsi="Times New Roman" w:cs="Times New Roman"/>
                <w:color w:val="#000000"/>
                <w:sz w:val="24"/>
                <w:szCs w:val="24"/>
              </w:rPr>
              <w:t> антистрессорной защиты.</w:t>
            </w:r>
          </w:p>
          <w:p>
            <w:pPr>
              <w:jc w:val="both"/>
              <w:spacing w:after="0" w:line="240" w:lineRule="auto"/>
              <w:rPr>
                <w:sz w:val="24"/>
                <w:szCs w:val="24"/>
              </w:rPr>
            </w:pPr>
            <w:r>
              <w:rPr>
                <w:rFonts w:ascii="Times New Roman" w:hAnsi="Times New Roman" w:cs="Times New Roman"/>
                <w:color w:val="#000000"/>
                <w:sz w:val="24"/>
                <w:szCs w:val="24"/>
              </w:rPr>
              <w:t> Вредные привычки и болезни химической зависимости.</w:t>
            </w:r>
          </w:p>
          <w:p>
            <w:pPr>
              <w:jc w:val="both"/>
              <w:spacing w:after="0" w:line="240" w:lineRule="auto"/>
              <w:rPr>
                <w:sz w:val="24"/>
                <w:szCs w:val="24"/>
              </w:rPr>
            </w:pPr>
            <w:r>
              <w:rPr>
                <w:rFonts w:ascii="Times New Roman" w:hAnsi="Times New Roman" w:cs="Times New Roman"/>
                <w:color w:val="#000000"/>
                <w:sz w:val="24"/>
                <w:szCs w:val="24"/>
              </w:rPr>
              <w:t> Табакозависимость и способы ее преодоления. Алкогольная зависимость.</w:t>
            </w:r>
          </w:p>
          <w:p>
            <w:pPr>
              <w:jc w:val="both"/>
              <w:spacing w:after="0" w:line="240" w:lineRule="auto"/>
              <w:rPr>
                <w:sz w:val="24"/>
                <w:szCs w:val="24"/>
              </w:rPr>
            </w:pPr>
            <w:r>
              <w:rPr>
                <w:rFonts w:ascii="Times New Roman" w:hAnsi="Times New Roman" w:cs="Times New Roman"/>
                <w:color w:val="#000000"/>
                <w:sz w:val="24"/>
                <w:szCs w:val="24"/>
              </w:rPr>
              <w:t> Понятие психоактивных веществ.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гигиены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Гигиена – как раздел профилактической медицины. Предмет, объект, цели гигиены. Личная гигиена и режим дня для поддержания здоровья человека. Школьная гигиена. Санитарно-эпидемиологические требования к организации учебного процесса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Окружающая среда и здоровье человека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гигиены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ЗОЖ и гигиена»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Тихомирова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Макеева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978-5-534-06930-3.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https://urait.ru/bcode/442123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один</w:t>
            </w:r>
            <w:r>
              <w:rPr/>
              <w:t xml:space="preserve"> </w:t>
            </w:r>
            <w:r>
              <w:rPr>
                <w:rFonts w:ascii="Times New Roman" w:hAnsi="Times New Roman" w:cs="Times New Roman"/>
                <w:color w:val="#000000"/>
                <w:sz w:val="24"/>
                <w:szCs w:val="24"/>
              </w:rPr>
              <w:t>из</w:t>
            </w:r>
            <w:r>
              <w:rPr/>
              <w:t xml:space="preserve"> </w:t>
            </w:r>
            <w:r>
              <w:rPr>
                <w:rFonts w:ascii="Times New Roman" w:hAnsi="Times New Roman" w:cs="Times New Roman"/>
                <w:color w:val="#000000"/>
                <w:sz w:val="24"/>
                <w:szCs w:val="24"/>
              </w:rPr>
              <w:t>аспектов</w:t>
            </w:r>
            <w:r>
              <w:rPr/>
              <w:t xml:space="preserve"> </w:t>
            </w:r>
            <w:r>
              <w:rPr>
                <w:rFonts w:ascii="Times New Roman" w:hAnsi="Times New Roman" w:cs="Times New Roman"/>
                <w:color w:val="#000000"/>
                <w:sz w:val="24"/>
                <w:szCs w:val="24"/>
              </w:rPr>
              <w:t>составляющих</w:t>
            </w:r>
            <w:r>
              <w:rPr/>
              <w:t xml:space="preserve"> </w:t>
            </w:r>
            <w:r>
              <w:rPr>
                <w:rFonts w:ascii="Times New Roman" w:hAnsi="Times New Roman" w:cs="Times New Roman"/>
                <w:color w:val="#000000"/>
                <w:sz w:val="24"/>
                <w:szCs w:val="24"/>
              </w:rPr>
              <w:t>здоровый</w:t>
            </w:r>
            <w:r>
              <w:rPr/>
              <w:t xml:space="preserve"> </w:t>
            </w:r>
            <w:r>
              <w:rPr>
                <w:rFonts w:ascii="Times New Roman" w:hAnsi="Times New Roman" w:cs="Times New Roman"/>
                <w:color w:val="#000000"/>
                <w:sz w:val="24"/>
                <w:szCs w:val="24"/>
              </w:rPr>
              <w:t>образ</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Татарова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Татаров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978-5-9909615-6-2.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http://www.iprbookshop.ru/75150.html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https://urait.ru/bcode/437688</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74.21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128.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(ППСиИО)(24)_plx_Основы ЗОЖ и гигиена</dc:title>
  <dc:creator>FastReport.NET</dc:creator>
</cp:coreProperties>
</file>